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43" w:rsidRDefault="004A47B3" w:rsidP="00C41A43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41A43"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="00C41A43">
        <w:rPr>
          <w:noProof/>
          <w:lang w:bidi="ar-SA"/>
        </w:rPr>
        <w:drawing>
          <wp:inline distT="0" distB="0" distL="0" distR="0" wp14:anchorId="4DC91508" wp14:editId="3638BCE2">
            <wp:extent cx="647700" cy="800100"/>
            <wp:effectExtent l="0" t="0" r="0" b="0"/>
            <wp:docPr id="1" name="Рисунок 1" descr="Описание: 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C41A43" w:rsidRDefault="00C41A43" w:rsidP="00C41A43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C41A43" w:rsidRDefault="00C41A43" w:rsidP="00C41A43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C41A43" w:rsidRDefault="00C41A43" w:rsidP="00C41A4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>
        <w:rPr>
          <w:rFonts w:ascii="Times New Roman" w:hAnsi="Times New Roman" w:cs="Times New Roman"/>
          <w:spacing w:val="-2"/>
        </w:rPr>
        <w:t>.Л</w:t>
      </w:r>
      <w:proofErr w:type="gramEnd"/>
      <w:r>
        <w:rPr>
          <w:rFonts w:ascii="Times New Roman" w:hAnsi="Times New Roman" w:cs="Times New Roman"/>
          <w:spacing w:val="-2"/>
        </w:rPr>
        <w:t>енина,1                                                                                                тел.2-13-51</w:t>
      </w:r>
    </w:p>
    <w:p w:rsidR="00C41A43" w:rsidRDefault="00C41A43" w:rsidP="00C41A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</w:p>
    <w:p w:rsidR="00C41A43" w:rsidRDefault="00C41A43" w:rsidP="00C41A4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C41A43" w:rsidRDefault="00C41A43" w:rsidP="00C41A4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</w:t>
      </w:r>
      <w:r w:rsidR="00C3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«О бюджете Глебовского</w:t>
      </w:r>
      <w:r w:rsidR="00A5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» </w:t>
      </w:r>
    </w:p>
    <w:p w:rsidR="00C41A43" w:rsidRDefault="00C41A43" w:rsidP="00C41A4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Хомутово                                                            </w:t>
      </w:r>
      <w:r w:rsidR="00A5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447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</w:t>
      </w:r>
      <w:r w:rsidR="00BD5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364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.2015г.</w:t>
      </w:r>
    </w:p>
    <w:p w:rsidR="00C41A43" w:rsidRDefault="00C41A43" w:rsidP="00C41A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Новодеревеньковского района на проект </w:t>
      </w:r>
      <w:r w:rsidR="0036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 бюджете Глебовского сельского поселения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Федерации,  Положением «О Контрольно-счетной палате Новодеревеньковского района», иными актами законодательства Российской Федерации.</w:t>
      </w:r>
    </w:p>
    <w:p w:rsidR="00C41A43" w:rsidRDefault="00C41A43" w:rsidP="00C41A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 w:rsidR="00364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год, анализ доходов и расходов бюджета. </w:t>
      </w:r>
    </w:p>
    <w:p w:rsidR="00C41A43" w:rsidRPr="00ED6B04" w:rsidRDefault="00C41A43" w:rsidP="003641B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Контрольно-счётную палату Новодеревеньковского района администрацией </w:t>
      </w:r>
      <w:r w:rsidR="00364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проект решения предоставлен </w:t>
      </w:r>
      <w:r w:rsidR="003641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64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41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D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 самым нарушив п. 1 ст. 185 Бюджетного кодекса РФ.</w:t>
      </w:r>
      <w:r w:rsidRPr="00ED6B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DF21EC" w:rsidRDefault="00C41A43" w:rsidP="001005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16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нарушение ст.184.2 Бюджетного Кодекса РФ к проекту решения не представлены:</w:t>
      </w:r>
    </w:p>
    <w:p w:rsidR="001005E5" w:rsidRDefault="00DF21EC" w:rsidP="001005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DF2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3641BC" w:rsidRPr="00DF2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сновные </w:t>
      </w:r>
      <w:r w:rsidRPr="00DF2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 бюджетной и налоговой политики;</w:t>
      </w:r>
    </w:p>
    <w:p w:rsidR="001005E5" w:rsidRDefault="00DF21EC" w:rsidP="001005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1005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C41A43" w:rsidRPr="00FD16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41A43" w:rsidRPr="00FD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ояснительная записка к проекту бюджета </w:t>
      </w:r>
      <w:r w:rsidR="0036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Глебовского сельского поселения на 2016</w:t>
      </w:r>
      <w:r w:rsidR="00C41A43" w:rsidRPr="00FD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237C" w:rsidRPr="0063237C" w:rsidRDefault="0063237C" w:rsidP="001005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проекта является составление бюджета сроком на один год.</w:t>
      </w:r>
    </w:p>
    <w:p w:rsidR="00C41A43" w:rsidRPr="00CB478A" w:rsidRDefault="00C41A43" w:rsidP="00C41A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B47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АНАЛИЗ ТЕКСТОВЫХ СТАТЕЙ ПРОЕКТА РЕШЕНИЯ</w:t>
      </w:r>
    </w:p>
    <w:p w:rsidR="00C41A43" w:rsidRDefault="00C41A43" w:rsidP="00C41A43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доходов и расходов  бюджета поселения осуществлялось в соответствии с нормами, установленными статьей 174.1 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законодательство о налогах и сборах, вс</w:t>
      </w:r>
      <w:r w:rsidR="00CB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тупающие в действие с 01.01.2016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 последующие годы.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</w:p>
    <w:p w:rsidR="00C41A43" w:rsidRDefault="00C41A43" w:rsidP="00C41A43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Исполнена статья 184.1 БК РФ в части состава показателей, утверждённых</w:t>
      </w:r>
      <w:r w:rsidR="00CB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бюджета Глебовского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41A43" w:rsidRDefault="00C41A43" w:rsidP="00C41A43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бюджет</w:t>
      </w:r>
      <w:r w:rsidR="00CB47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2016год-1944,5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C41A43" w:rsidRDefault="00C41A43" w:rsidP="00C41A43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</w:t>
      </w:r>
      <w:r w:rsidR="00CB478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объём расходов бюджета на 2016год- 2099,8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C41A43" w:rsidRDefault="00C41A43" w:rsidP="00C41A43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</w:t>
      </w:r>
      <w:r w:rsidR="00CB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 поселения на 2016год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78A">
        <w:rPr>
          <w:rFonts w:ascii="Times New Roman" w:eastAsia="Times New Roman" w:hAnsi="Times New Roman" w:cs="Times New Roman"/>
          <w:sz w:val="28"/>
          <w:szCs w:val="28"/>
          <w:lang w:eastAsia="ru-RU"/>
        </w:rPr>
        <w:t>155,3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41A43" w:rsidRDefault="00C41A43" w:rsidP="00C41A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 показателей, утверждаемых в проекте решения о бюджете, не в полной мере соответствуют ст. 184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525" w:rsidRPr="003577B6" w:rsidRDefault="00C41A43" w:rsidP="0015252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 вышеуказанной статьи:</w:t>
      </w:r>
      <w:r w:rsidR="00152525" w:rsidRPr="001525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2525"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Контрольно-счетная палата Новодеревеньковского района отмечает:</w:t>
      </w:r>
    </w:p>
    <w:p w:rsidR="00285A7F" w:rsidRDefault="00152525" w:rsidP="0015252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  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пункте 1 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проекта решения предлагается  утвердить </w:t>
      </w:r>
      <w:r w:rsidR="00285A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прогнозируемый объём доходов бюджета, прогнозируемый объём расходов б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юджета </w:t>
      </w:r>
      <w:r w:rsidR="00285A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Глебовского сельского поселения.</w:t>
      </w:r>
    </w:p>
    <w:p w:rsidR="00152525" w:rsidRPr="003577B6" w:rsidRDefault="00152525" w:rsidP="0015252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Тогда как, пунктом 1 стати 184.1.  Бюджетного кодекса РФ предусмотрено, что в решении о бюджете должны содержаться основные характеристики бюджета, к которым относятся </w:t>
      </w:r>
      <w:r w:rsidRPr="00285A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общий объём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доходов бюджета, общий объём расходов, 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дефицит (профицит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бюджета.</w:t>
      </w:r>
    </w:p>
    <w:p w:rsidR="00285A7F" w:rsidRPr="00ED6B04" w:rsidRDefault="00152525" w:rsidP="0015252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D6B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Pr="00ED6B0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 проекте решения </w:t>
      </w:r>
      <w:r w:rsidR="000010DA" w:rsidRPr="00ED6B0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 соблюдены нормы п.3 ст. 184.1 БК РФ в части установления</w:t>
      </w:r>
      <w:r w:rsidR="00285A7F" w:rsidRPr="00ED6B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152525" w:rsidRDefault="00285A7F" w:rsidP="0015252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00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перечня</w:t>
      </w:r>
      <w:r w:rsidR="00152525"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главных администраторов дохо</w:t>
      </w:r>
      <w:r w:rsidR="0000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 бюджета,</w:t>
      </w:r>
    </w:p>
    <w:p w:rsidR="00285A7F" w:rsidRDefault="00285A7F" w:rsidP="0015252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перечень главных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администраторов источников </w:t>
      </w:r>
      <w:r w:rsidR="0000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финансирования дефицита бюджета</w:t>
      </w:r>
      <w:proofErr w:type="gramEnd"/>
      <w:r w:rsidR="0000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0010DA" w:rsidRDefault="000010DA" w:rsidP="0015252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источников финансирования дефицита бюджета,</w:t>
      </w:r>
    </w:p>
    <w:p w:rsidR="00285A7F" w:rsidRPr="003577B6" w:rsidRDefault="00285A7F" w:rsidP="0015252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</w:t>
      </w:r>
      <w:r w:rsidR="000010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едомственной структуре расходов,</w:t>
      </w:r>
    </w:p>
    <w:p w:rsidR="00152525" w:rsidRDefault="00152525" w:rsidP="00152525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7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 -   </w:t>
      </w:r>
      <w:r w:rsidR="00030139">
        <w:rPr>
          <w:rFonts w:ascii="Times New Roman" w:hAnsi="Times New Roman" w:cs="Times New Roman"/>
          <w:i/>
          <w:iCs/>
          <w:sz w:val="28"/>
          <w:szCs w:val="28"/>
        </w:rPr>
        <w:t>проектом бюджета не утверждён</w:t>
      </w:r>
      <w:r w:rsidR="00030139" w:rsidRPr="00030139">
        <w:rPr>
          <w:rFonts w:ascii="Times New Roman" w:hAnsi="Times New Roman" w:cs="Times New Roman"/>
          <w:i/>
          <w:iCs/>
          <w:sz w:val="28"/>
          <w:szCs w:val="28"/>
        </w:rPr>
        <w:t xml:space="preserve"> объём муниципального долга  на 2016год, верхний предел муниципального долга на 1 января 2017г.</w:t>
      </w:r>
      <w:r w:rsidR="0000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A47B3" w:rsidRPr="00030139" w:rsidRDefault="004A47B3" w:rsidP="00152525">
      <w:pPr>
        <w:spacing w:after="0"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- </w:t>
      </w:r>
      <w:r w:rsidR="009E2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  <w:r w:rsidR="00D86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ссылки в текстовой части проекта бюджета, что в очередн</w:t>
      </w:r>
      <w:r w:rsidR="003C4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D86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финансовом году</w:t>
      </w:r>
      <w:r w:rsidR="003C4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предусматривается представление бюджетных кредитов, муниципальных гарантий;</w:t>
      </w:r>
      <w:r w:rsidR="00A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3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2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C41A43" w:rsidRDefault="00C41A43" w:rsidP="00C41A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</w:t>
      </w:r>
      <w:r w:rsidR="0063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фонд установлен в размере 10,0 тыс. рублей, или 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общего объема ра</w:t>
      </w:r>
      <w:r w:rsidR="0063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сходов бюджета поселения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что соответствует требованиям статьи 81 Бюджетного кодекс</w:t>
      </w:r>
      <w:r w:rsidR="0063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Российской Федерации (не  превышает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3% общего объема расходов).</w:t>
      </w:r>
    </w:p>
    <w:p w:rsidR="00A66024" w:rsidRDefault="00A66024" w:rsidP="00C41A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7C" w:rsidRPr="00A66024" w:rsidRDefault="0063237C" w:rsidP="006323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ХАРАКТЕРИСТИКИ ПРОЕКТА БЮДЖЕТА</w:t>
      </w:r>
    </w:p>
    <w:p w:rsidR="0063237C" w:rsidRDefault="0063237C" w:rsidP="00632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проекта бюджета Глебовского сельского поселения на 2016 год  представлены в следующей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37C" w:rsidRDefault="0063237C" w:rsidP="00632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93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1134"/>
        <w:gridCol w:w="1418"/>
      </w:tblGrid>
      <w:tr w:rsidR="0063237C" w:rsidTr="00285A7F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характеристики проекта бюджета поселения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</w:t>
            </w:r>
          </w:p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(утверждено)</w:t>
            </w:r>
          </w:p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отклонение +,-</w:t>
            </w:r>
          </w:p>
        </w:tc>
      </w:tr>
      <w:tr w:rsidR="0063237C" w:rsidTr="00285A7F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37C" w:rsidRDefault="0063237C" w:rsidP="00285A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7C" w:rsidTr="00285A7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+301,1</w:t>
            </w:r>
          </w:p>
        </w:tc>
      </w:tr>
      <w:tr w:rsidR="0063237C" w:rsidTr="00285A7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+359,4</w:t>
            </w:r>
          </w:p>
        </w:tc>
      </w:tr>
      <w:tr w:rsidR="0063237C" w:rsidTr="00285A7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7C" w:rsidRDefault="0063237C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+58,3</w:t>
            </w:r>
          </w:p>
        </w:tc>
      </w:tr>
    </w:tbl>
    <w:p w:rsidR="0063237C" w:rsidRPr="00EC1ADE" w:rsidRDefault="0063237C" w:rsidP="006323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2016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доходов проекта бюджета  предусмотрен в 2016 году в сумме 1944,5тыс. руб., что  выше утверждённого плана на 2015 год на  301,1 тыс. руб., или на 18,3%.Общий объем расходов предусмотрен в 2016 году в сумме 2099,8 тыс. руб., что выше  утверждённого плана  на 2015 год на 359,4 тыс. руб., или  на 20,7%.  Сумма </w:t>
      </w:r>
      <w:r w:rsidRP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планируется проектом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размере-155,3</w:t>
      </w:r>
      <w:r w:rsidRPr="00BA2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8,7% от общего объёма доходов без учёта объёма безвозмездных поступлений и поступлений налоговых доходов по дополнительным нормативам отчислений. </w:t>
      </w:r>
    </w:p>
    <w:p w:rsidR="00C41A43" w:rsidRDefault="00C41A43" w:rsidP="0063237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   </w:t>
      </w:r>
    </w:p>
    <w:p w:rsidR="00C41A43" w:rsidRPr="0063237C" w:rsidRDefault="00C41A43" w:rsidP="00C41A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32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ДОХО</w:t>
      </w:r>
      <w:r w:rsidR="00632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ДЫ ПРОЕКТА БЮДЖЕТА ГЛЕБОВСКОГО</w:t>
      </w:r>
    </w:p>
    <w:p w:rsidR="004C6765" w:rsidRPr="0063237C" w:rsidRDefault="00C41A43" w:rsidP="00C41A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323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СЕЛЬСКОГО ПОСЕЛЕНИЯ</w:t>
      </w:r>
    </w:p>
    <w:p w:rsidR="00C41A43" w:rsidRDefault="00C41A43" w:rsidP="004C6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структуры доходов бюджета поселения </w:t>
      </w:r>
      <w:r w:rsidR="00A6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2015</w:t>
      </w:r>
      <w:r w:rsidR="004C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2016</w:t>
      </w:r>
      <w:r w:rsidR="00A6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приведено в таблице:</w:t>
      </w:r>
      <w:r w:rsidR="0010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(тыс.</w:t>
      </w:r>
      <w:r w:rsidR="0040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134"/>
        <w:gridCol w:w="1134"/>
        <w:gridCol w:w="1134"/>
      </w:tblGrid>
      <w:tr w:rsidR="004C6765" w:rsidTr="0021397E">
        <w:trPr>
          <w:trHeight w:val="69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4C6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4C6765" w:rsidRDefault="001005E5" w:rsidP="004C6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572" w:rsidTr="0021397E">
        <w:trPr>
          <w:trHeight w:val="1119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765" w:rsidRDefault="004C6765" w:rsidP="00285A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0CE">
              <w:rPr>
                <w:rFonts w:ascii="Times New Roman" w:eastAsia="Times New Roman" w:hAnsi="Times New Roman" w:cs="Times New Roman"/>
                <w:lang w:eastAsia="ru-RU"/>
              </w:rPr>
              <w:t>2015год</w:t>
            </w:r>
          </w:p>
          <w:p w:rsidR="00E330CE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2016год</w:t>
            </w:r>
          </w:p>
          <w:p w:rsidR="001005E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2016г.</w:t>
            </w:r>
          </w:p>
          <w:p w:rsidR="004C6765" w:rsidRPr="003B211B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765" w:rsidRDefault="004C676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  <w:r w:rsidRPr="0021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2016/2015</w:t>
            </w:r>
          </w:p>
        </w:tc>
      </w:tr>
      <w:tr w:rsidR="001005E5" w:rsidTr="00E330C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Pr="00227572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и неналоговые доходы, в </w:t>
            </w:r>
            <w:proofErr w:type="spellStart"/>
            <w:r w:rsidRPr="0022757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22757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30CE">
              <w:rPr>
                <w:rFonts w:ascii="Times New Roman" w:eastAsia="Times New Roman" w:hAnsi="Times New Roman" w:cs="Times New Roman"/>
                <w:b/>
                <w:lang w:eastAsia="ru-RU"/>
              </w:rPr>
              <w:t>1479,0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405A64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30CE">
              <w:rPr>
                <w:rFonts w:ascii="Times New Roman" w:eastAsia="Times New Roman" w:hAnsi="Times New Roman" w:cs="Times New Roman"/>
                <w:b/>
                <w:lang w:eastAsia="ru-RU"/>
              </w:rPr>
              <w:t>1779,0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30CE">
              <w:rPr>
                <w:rFonts w:ascii="Times New Roman" w:eastAsia="Times New Roman" w:hAnsi="Times New Roman" w:cs="Times New Roman"/>
                <w:b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120,3</w:t>
            </w:r>
          </w:p>
        </w:tc>
      </w:tr>
      <w:tr w:rsidR="001005E5" w:rsidTr="00E330C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202,9</w:t>
            </w:r>
          </w:p>
        </w:tc>
      </w:tr>
      <w:tr w:rsidR="001005E5" w:rsidTr="00E330C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005E5" w:rsidTr="00E330C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</w:tr>
      <w:tr w:rsidR="001005E5" w:rsidTr="00E330C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005E5" w:rsidTr="0021397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5E5" w:rsidTr="0021397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</w:tr>
      <w:tr w:rsidR="001005E5" w:rsidTr="0021397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Pr="00227572" w:rsidRDefault="001005E5" w:rsidP="00285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572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3B211B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11B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3B211B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3B211B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100,7</w:t>
            </w:r>
          </w:p>
        </w:tc>
      </w:tr>
      <w:tr w:rsidR="001005E5" w:rsidTr="00E330C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5E5" w:rsidRPr="00227572" w:rsidRDefault="001005E5" w:rsidP="00227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572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68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E330CE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158</w:t>
            </w:r>
            <w:r w:rsidR="00405A64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3B211B" w:rsidRDefault="001005E5" w:rsidP="0028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11B">
              <w:rPr>
                <w:rFonts w:ascii="Times New Roman" w:eastAsia="Times New Roman" w:hAnsi="Times New Roman" w:cs="Times New Roman"/>
                <w:b/>
                <w:lang w:eastAsia="ru-RU"/>
              </w:rPr>
              <w:t>1944,5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3B211B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5E5" w:rsidRPr="003B211B" w:rsidRDefault="001005E5" w:rsidP="0070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118,3</w:t>
            </w:r>
          </w:p>
        </w:tc>
      </w:tr>
    </w:tbl>
    <w:p w:rsidR="00ED6B04" w:rsidRDefault="00C41A43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6144C" w:rsidRPr="00963A45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 и неналоговых доходов бюджета сельского поселения на 2016год  основными являются: земельный налог,  доходы от продажи земельных участков, находящихся в собственности поселений. Их доля в составе  доходов бюджета поселения составляет 40,6%  и 46,3%.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Налог на доходы физических лиц  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3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налога на доходы физических лиц в бюджет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2016</w:t>
      </w:r>
      <w:r w:rsidRPr="00DB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71,0 </w:t>
      </w:r>
      <w:r w:rsidRPr="00DB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   с   применением норматива отчислений налога в бюджет поселения в размере </w:t>
      </w:r>
      <w:r w:rsidRPr="00E67E5C">
        <w:rPr>
          <w:rFonts w:ascii="Times New Roman" w:eastAsia="Times New Roman" w:hAnsi="Times New Roman" w:cs="Times New Roman"/>
          <w:sz w:val="28"/>
          <w:szCs w:val="28"/>
          <w:lang w:eastAsia="ru-RU"/>
        </w:rPr>
        <w:t>2%.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 бюджета поселения составит 4,0%.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Прогнозируемый объем поступлений данного налога в бюджет поселения рассчитан на основании сведений о начисленных налоговыми органами суммах налога,</w:t>
      </w:r>
      <w:r w:rsidRPr="001C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применением норматива отчислений налога в бюджет поселения в размере </w:t>
      </w:r>
      <w:r w:rsidRPr="00E67E5C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Поступление данного налога в бюджет поселения на 2016 год планируется в сумме 14,0 тыс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Темпы роста налога к предыдущему году составляют 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 Удельный вес в структуре налоговых и неналоговых доходов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составит 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Прогнозируемый объем поступлений данного налога в бюджет поселения рассчитан на основании сведений о поступивших суммах 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 за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с учетом 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Поступление данного налога в бюджет поселения на 20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год планируется в сумме 790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в структуре налоговых и неналоговых доходов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составит 44,4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поступлений налога н</w:t>
      </w:r>
      <w:r w:rsidR="0070601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2016 год рассчитан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0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налоговых и неналоговых доходов бюджета,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применением норматива отчислений налога в бюджет поселения в размере </w:t>
      </w:r>
      <w:r w:rsidRPr="00E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30%. 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Прогнозируемый объем поступлений государственной п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ошлины на 2016 год составляет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рублей,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норматива отчислений налога в бюджет поселения в размере </w:t>
      </w:r>
      <w:r w:rsidRPr="00E67E5C">
        <w:rPr>
          <w:rFonts w:ascii="Times New Roman" w:eastAsia="Times New Roman" w:hAnsi="Times New Roman" w:cs="Times New Roman"/>
          <w:sz w:val="28"/>
          <w:szCs w:val="28"/>
          <w:lang w:eastAsia="ru-RU"/>
        </w:rPr>
        <w:t>100%.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Удельный вес в структуре налоговых и неналоговых доходо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бюджета поселения составит 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6144C" w:rsidRDefault="0016144C" w:rsidP="001614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Неналоговые доходы</w:t>
      </w:r>
      <w:r w:rsidR="00706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 бюджета от продажи земельных участков, находящихся в собственности поседений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поступления в дохо</w:t>
      </w:r>
      <w:r w:rsidR="00706015">
        <w:rPr>
          <w:rFonts w:ascii="Times New Roman" w:eastAsia="Times New Roman" w:hAnsi="Times New Roman" w:cs="Times New Roman"/>
          <w:sz w:val="28"/>
          <w:szCs w:val="28"/>
          <w:lang w:eastAsia="ru-RU"/>
        </w:rPr>
        <w:t>д бюджета в 2016 году составит 900тыс. рублей, что составляет 50,6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налоговых и неналоговых дох</w:t>
      </w:r>
      <w:r w:rsidR="00706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бюджета.</w:t>
      </w:r>
    </w:p>
    <w:p w:rsidR="00706015" w:rsidRDefault="00706015" w:rsidP="001614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бюджета </w:t>
      </w:r>
      <w:r w:rsidR="00706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 сельского поселения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объемы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безвозмездных поступлений</w:t>
      </w:r>
      <w:r w:rsidR="00706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Общий объем б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езвозмездных поступлений на 2016 год запланирован в сумме 165,5 тыс.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объеме доходов безвозм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ездные посту</w:t>
      </w:r>
      <w:r w:rsidR="00E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составят 8,5%, что на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нтных пунк</w:t>
      </w:r>
      <w:r w:rsidR="00E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ниже </w:t>
      </w:r>
      <w:r w:rsidR="0070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</w:t>
      </w:r>
      <w:r w:rsidR="00E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16144C" w:rsidRDefault="0016144C" w:rsidP="001614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 структуре безвозмездных поступлений из ср</w:t>
      </w:r>
      <w:r w:rsidR="00E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 областного бюджета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наибольший уд</w:t>
      </w:r>
      <w:r w:rsidR="00E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вес занимают дотации 79,6% или 131,7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 </w:t>
      </w:r>
    </w:p>
    <w:p w:rsidR="00C41A43" w:rsidRDefault="00E86C05" w:rsidP="00B53E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занимают 20,4% (33,8</w:t>
      </w:r>
      <w:r w:rsidR="0016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 на представление первичного воинского учета на территориях, где отсутствуют военные комиссариаты.</w:t>
      </w:r>
      <w:r w:rsidR="00C4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C41A43" w:rsidRDefault="00C41A43" w:rsidP="00C41A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43" w:rsidRPr="00B53EA7" w:rsidRDefault="00C41A43" w:rsidP="00C41A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53E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РАСХО</w:t>
      </w:r>
      <w:r w:rsidR="00B53E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ДЫ ПРОЕКТА БЮДЖЕТА ГЛЕБОВСКОГО</w:t>
      </w:r>
      <w:r w:rsidRPr="00B53E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C41A43" w:rsidRPr="00B53EA7" w:rsidRDefault="00C41A43" w:rsidP="00C41A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E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СЕЛЬСКОГО ПОСЕЛЕНИЯ</w:t>
      </w:r>
    </w:p>
    <w:p w:rsidR="00C41A43" w:rsidRDefault="00C41A43" w:rsidP="00C41A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  </w:t>
      </w:r>
      <w:r w:rsidR="00B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Расходы бюджета Глебовского сельского поселения на 2016 год планируются в объеме 2099,8тыс. рублей, что на 359,4 тыс. рублей или на 20,6%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</w:t>
      </w:r>
      <w:r w:rsidR="00B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дённого бюджета поселения на 2015год   (1740,4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рублей).</w:t>
      </w:r>
    </w:p>
    <w:p w:rsidR="003230F5" w:rsidRDefault="003230F5" w:rsidP="003230F5">
      <w:pPr>
        <w:pStyle w:val="a7"/>
        <w:ind w:firstLine="709"/>
        <w:jc w:val="center"/>
        <w:rPr>
          <w:szCs w:val="28"/>
        </w:rPr>
      </w:pPr>
      <w:r w:rsidRPr="00680333">
        <w:rPr>
          <w:szCs w:val="28"/>
        </w:rPr>
        <w:t xml:space="preserve">Распределение расходов бюджета </w:t>
      </w:r>
      <w:r w:rsidR="00D40F92">
        <w:rPr>
          <w:szCs w:val="28"/>
        </w:rPr>
        <w:t>Глебовского сельского поселения</w:t>
      </w:r>
    </w:p>
    <w:p w:rsidR="003230F5" w:rsidRPr="00680333" w:rsidRDefault="003230F5" w:rsidP="003230F5">
      <w:pPr>
        <w:pStyle w:val="a7"/>
        <w:ind w:firstLine="709"/>
        <w:jc w:val="center"/>
        <w:rPr>
          <w:szCs w:val="28"/>
        </w:rPr>
      </w:pPr>
      <w:r w:rsidRPr="00680333">
        <w:rPr>
          <w:szCs w:val="28"/>
        </w:rPr>
        <w:t xml:space="preserve"> в  2014-2016 годах</w:t>
      </w:r>
    </w:p>
    <w:p w:rsidR="003230F5" w:rsidRPr="00620467" w:rsidRDefault="00D40F92" w:rsidP="003230F5">
      <w:pPr>
        <w:pStyle w:val="a7"/>
        <w:ind w:firstLine="709"/>
        <w:jc w:val="right"/>
        <w:rPr>
          <w:sz w:val="24"/>
        </w:rPr>
      </w:pPr>
      <w:r>
        <w:rPr>
          <w:sz w:val="24"/>
        </w:rPr>
        <w:lastRenderedPageBreak/>
        <w:t>Таблица №3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553"/>
        <w:gridCol w:w="1116"/>
        <w:gridCol w:w="799"/>
        <w:gridCol w:w="1116"/>
        <w:gridCol w:w="800"/>
        <w:gridCol w:w="1016"/>
        <w:gridCol w:w="824"/>
        <w:gridCol w:w="1347"/>
      </w:tblGrid>
      <w:tr w:rsidR="003230F5" w:rsidRPr="00680333" w:rsidTr="00285A7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</w:p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2014г.</w:t>
            </w:r>
          </w:p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(исполнение бюджета)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2015г.</w:t>
            </w:r>
          </w:p>
          <w:p w:rsidR="003230F5" w:rsidRPr="00620467" w:rsidRDefault="003230F5" w:rsidP="003230F5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</w:t>
            </w:r>
            <w:r w:rsidRPr="00620467"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2016г.</w:t>
            </w:r>
          </w:p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(прогноз бюджета)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Отклонение</w:t>
            </w:r>
          </w:p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 xml:space="preserve">2016 / 2015 </w:t>
            </w:r>
          </w:p>
        </w:tc>
      </w:tr>
      <w:tr w:rsidR="003230F5" w:rsidRPr="00680333" w:rsidTr="00285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F5" w:rsidRPr="00620467" w:rsidRDefault="003230F5" w:rsidP="00285A7F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r w:rsidRPr="00620467">
              <w:rPr>
                <w:sz w:val="22"/>
                <w:szCs w:val="22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620467">
              <w:rPr>
                <w:sz w:val="22"/>
                <w:szCs w:val="22"/>
              </w:rPr>
              <w:t>тыс</w:t>
            </w:r>
            <w:proofErr w:type="gramStart"/>
            <w:r w:rsidRPr="00620467">
              <w:rPr>
                <w:sz w:val="22"/>
                <w:szCs w:val="22"/>
              </w:rPr>
              <w:t>.р</w:t>
            </w:r>
            <w:proofErr w:type="gramEnd"/>
            <w:r w:rsidRPr="00620467">
              <w:rPr>
                <w:sz w:val="22"/>
                <w:szCs w:val="22"/>
              </w:rPr>
              <w:t>уб</w:t>
            </w:r>
            <w:proofErr w:type="spellEnd"/>
            <w:r w:rsidRPr="00620467">
              <w:rPr>
                <w:sz w:val="22"/>
                <w:szCs w:val="22"/>
              </w:rPr>
              <w:t>.</w:t>
            </w:r>
          </w:p>
          <w:p w:rsidR="003230F5" w:rsidRPr="00620467" w:rsidRDefault="003230F5" w:rsidP="00285A7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230F5" w:rsidRPr="00680333" w:rsidTr="007932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rPr>
                <w:sz w:val="24"/>
              </w:rPr>
            </w:pPr>
            <w:r w:rsidRPr="00620467">
              <w:rPr>
                <w:sz w:val="24"/>
              </w:rPr>
              <w:t>Общегосударственные расходы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4460,6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1513,0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1408,0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-105,0</w:t>
            </w:r>
          </w:p>
        </w:tc>
      </w:tr>
      <w:tr w:rsidR="003230F5" w:rsidRPr="00680333" w:rsidTr="00285A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243,6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-1,7</w:t>
            </w:r>
          </w:p>
        </w:tc>
      </w:tr>
      <w:tr w:rsidR="00793276" w:rsidRPr="00680333" w:rsidTr="00285A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Национальная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-10,0</w:t>
            </w:r>
          </w:p>
        </w:tc>
      </w:tr>
      <w:tr w:rsidR="003230F5" w:rsidRPr="00680333" w:rsidTr="00285A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Дорожное 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3860,4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0F5" w:rsidRPr="00680333" w:rsidTr="007932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rPr>
                <w:sz w:val="24"/>
              </w:rPr>
            </w:pPr>
            <w:r w:rsidRPr="00620467">
              <w:rPr>
                <w:sz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3404,4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900,</w:t>
            </w:r>
            <w:r w:rsidR="003230F5">
              <w:rPr>
                <w:sz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189,0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-711,0</w:t>
            </w:r>
          </w:p>
        </w:tc>
      </w:tr>
      <w:tr w:rsidR="00793276" w:rsidRPr="00680333" w:rsidTr="00285A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Pr="00620467" w:rsidRDefault="00793276" w:rsidP="00285A7F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-5,0</w:t>
            </w:r>
          </w:p>
        </w:tc>
      </w:tr>
      <w:tr w:rsidR="003230F5" w:rsidRPr="00680333" w:rsidTr="007932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rPr>
                <w:sz w:val="24"/>
              </w:rPr>
            </w:pPr>
            <w:r w:rsidRPr="00620467">
              <w:rPr>
                <w:sz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944,5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79327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295,8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395,0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+99,2</w:t>
            </w:r>
          </w:p>
        </w:tc>
      </w:tr>
      <w:tr w:rsidR="003230F5" w:rsidRPr="00680333" w:rsidTr="007932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rPr>
                <w:sz w:val="24"/>
              </w:rPr>
            </w:pPr>
            <w:r w:rsidRPr="00620467">
              <w:rPr>
                <w:sz w:val="24"/>
              </w:rPr>
              <w:t>Социальная политика</w:t>
            </w:r>
          </w:p>
          <w:p w:rsidR="003230F5" w:rsidRPr="00620467" w:rsidRDefault="003230F5" w:rsidP="00285A7F">
            <w:pPr>
              <w:pStyle w:val="a7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  <w:tr w:rsidR="00793276" w:rsidRPr="00680333" w:rsidTr="00285A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Pr="00620467" w:rsidRDefault="00793276" w:rsidP="00285A7F">
            <w:pPr>
              <w:pStyle w:val="a7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793276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6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-5,0</w:t>
            </w:r>
          </w:p>
        </w:tc>
      </w:tr>
      <w:tr w:rsidR="003230F5" w:rsidRPr="00680333" w:rsidTr="007932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Всего: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12938,7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793276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2841,3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100,0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B272C7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2099,8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  <w:r w:rsidRPr="00620467">
              <w:rPr>
                <w:sz w:val="24"/>
              </w:rPr>
              <w:t>100,0</w:t>
            </w:r>
          </w:p>
          <w:p w:rsidR="003230F5" w:rsidRPr="00620467" w:rsidRDefault="003230F5" w:rsidP="00285A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5" w:rsidRPr="00620467" w:rsidRDefault="00D40F92" w:rsidP="00285A7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-741,5</w:t>
            </w:r>
          </w:p>
        </w:tc>
      </w:tr>
    </w:tbl>
    <w:p w:rsidR="003230F5" w:rsidRDefault="003230F5" w:rsidP="003230F5">
      <w:pPr>
        <w:pStyle w:val="a7"/>
        <w:ind w:firstLine="708"/>
        <w:contextualSpacing/>
        <w:rPr>
          <w:szCs w:val="28"/>
        </w:rPr>
      </w:pPr>
      <w:r w:rsidRPr="00680333">
        <w:rPr>
          <w:szCs w:val="28"/>
        </w:rPr>
        <w:t xml:space="preserve">В разрезе функциональной структуры проекта решения о бюджете наибольшую долю в 2016 году составляют расходы на </w:t>
      </w:r>
      <w:r>
        <w:rPr>
          <w:szCs w:val="28"/>
        </w:rPr>
        <w:t>«Общ</w:t>
      </w:r>
      <w:r w:rsidR="00632815">
        <w:rPr>
          <w:szCs w:val="28"/>
        </w:rPr>
        <w:t>егосударственные вопросы» – 66,6%, н</w:t>
      </w:r>
      <w:r w:rsidRPr="00680333">
        <w:rPr>
          <w:szCs w:val="28"/>
        </w:rPr>
        <w:t xml:space="preserve">а </w:t>
      </w:r>
      <w:r>
        <w:rPr>
          <w:szCs w:val="28"/>
        </w:rPr>
        <w:t>«</w:t>
      </w:r>
      <w:r w:rsidR="00632815">
        <w:rPr>
          <w:szCs w:val="28"/>
        </w:rPr>
        <w:t>Культуру» планируется 18,8%</w:t>
      </w:r>
      <w:r w:rsidRPr="00680333">
        <w:rPr>
          <w:szCs w:val="28"/>
        </w:rPr>
        <w:t xml:space="preserve">,   на </w:t>
      </w:r>
      <w:r>
        <w:rPr>
          <w:szCs w:val="28"/>
        </w:rPr>
        <w:t>«Ж</w:t>
      </w:r>
      <w:r w:rsidRPr="00680333">
        <w:rPr>
          <w:szCs w:val="28"/>
        </w:rPr>
        <w:t>илищно-коммунальное хозяйство</w:t>
      </w:r>
      <w:r w:rsidR="00632815">
        <w:rPr>
          <w:szCs w:val="28"/>
        </w:rPr>
        <w:t>» – 9,0%.</w:t>
      </w:r>
    </w:p>
    <w:p w:rsidR="00632815" w:rsidRDefault="00C41A43" w:rsidP="00632815">
      <w:pPr>
        <w:pStyle w:val="a7"/>
        <w:ind w:firstLine="708"/>
        <w:contextualSpacing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Контрольно-счетная палата обращает внимание, что бюджет поселения не носит социальной  направленности, что противоречит целям и задачам, определяющим бюджетную политику и сформулированным в Указах Президента Российской Федерации</w:t>
      </w:r>
      <w:r w:rsidR="00632815">
        <w:rPr>
          <w:b/>
          <w:bCs/>
          <w:i/>
          <w:iCs/>
          <w:color w:val="000000"/>
          <w:szCs w:val="28"/>
        </w:rPr>
        <w:t>.</w:t>
      </w:r>
    </w:p>
    <w:p w:rsidR="00632815" w:rsidRDefault="00C41A43" w:rsidP="00632815">
      <w:pPr>
        <w:pStyle w:val="a7"/>
        <w:ind w:firstLine="708"/>
        <w:contextualSpacing/>
        <w:rPr>
          <w:color w:val="000000"/>
          <w:szCs w:val="28"/>
        </w:rPr>
      </w:pPr>
      <w:r>
        <w:rPr>
          <w:color w:val="000000"/>
          <w:szCs w:val="28"/>
        </w:rPr>
        <w:t>Рассмотрим данные о планируемых расходах бюджета поселения в разрезе разделов и подразделов классификации расходов бюджетов Российской Федерации.</w:t>
      </w:r>
    </w:p>
    <w:p w:rsidR="009238C1" w:rsidRDefault="00C41A43" w:rsidP="009238C1">
      <w:pPr>
        <w:pStyle w:val="a7"/>
        <w:ind w:firstLine="708"/>
        <w:contextualSpacing/>
        <w:rPr>
          <w:szCs w:val="28"/>
        </w:rPr>
      </w:pPr>
      <w:r>
        <w:rPr>
          <w:szCs w:val="28"/>
        </w:rPr>
        <w:t xml:space="preserve">По разделу </w:t>
      </w:r>
      <w:r>
        <w:rPr>
          <w:b/>
          <w:bCs/>
          <w:szCs w:val="28"/>
        </w:rPr>
        <w:t>01 «</w:t>
      </w:r>
      <w:r>
        <w:rPr>
          <w:b/>
          <w:bCs/>
          <w:spacing w:val="-3"/>
          <w:szCs w:val="28"/>
        </w:rPr>
        <w:t>Общегосударственные вопросы</w:t>
      </w:r>
      <w:r>
        <w:rPr>
          <w:b/>
          <w:bCs/>
          <w:szCs w:val="28"/>
        </w:rPr>
        <w:t xml:space="preserve">» </w:t>
      </w:r>
      <w:r>
        <w:rPr>
          <w:szCs w:val="28"/>
        </w:rPr>
        <w:t>проектом бюджета расходные обязательства предусматриваются на содержание и обеспечение деятельности Главы администрации</w:t>
      </w:r>
      <w:r w:rsidR="00632815">
        <w:rPr>
          <w:szCs w:val="28"/>
        </w:rPr>
        <w:t xml:space="preserve"> и  центрального аппарата</w:t>
      </w:r>
      <w:r>
        <w:rPr>
          <w:szCs w:val="28"/>
        </w:rPr>
        <w:t>, на осуществление части полномочий по решению вопросов местного значения в соответствии с заключёнными соглашениями</w:t>
      </w:r>
      <w:r w:rsidR="00632815">
        <w:rPr>
          <w:szCs w:val="28"/>
        </w:rPr>
        <w:t>.</w:t>
      </w:r>
      <w:r w:rsidR="009238C1">
        <w:rPr>
          <w:szCs w:val="28"/>
        </w:rPr>
        <w:t xml:space="preserve"> </w:t>
      </w:r>
      <w:r w:rsidR="00632815">
        <w:rPr>
          <w:szCs w:val="28"/>
        </w:rPr>
        <w:t>У</w:t>
      </w:r>
      <w:r>
        <w:rPr>
          <w:szCs w:val="28"/>
        </w:rPr>
        <w:t>дельный вес раздела в общем</w:t>
      </w:r>
      <w:r w:rsidR="009238C1">
        <w:rPr>
          <w:szCs w:val="28"/>
        </w:rPr>
        <w:t xml:space="preserve"> объеме расходов составляет 66,6</w:t>
      </w:r>
      <w:r>
        <w:rPr>
          <w:szCs w:val="28"/>
        </w:rPr>
        <w:t xml:space="preserve">%. </w:t>
      </w:r>
    </w:p>
    <w:p w:rsidR="00D5703E" w:rsidRDefault="00C41A43" w:rsidP="00D5703E">
      <w:pPr>
        <w:pStyle w:val="a7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02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оборона» </w:t>
      </w:r>
      <w:r w:rsidR="00F20F9C">
        <w:rPr>
          <w:szCs w:val="28"/>
        </w:rPr>
        <w:t>на 2016</w:t>
      </w:r>
      <w:r>
        <w:rPr>
          <w:szCs w:val="28"/>
        </w:rPr>
        <w:t xml:space="preserve"> год проектом решени</w:t>
      </w:r>
      <w:r w:rsidR="00F20F9C">
        <w:rPr>
          <w:szCs w:val="28"/>
        </w:rPr>
        <w:t>я предусматривается в сумме 33,8</w:t>
      </w:r>
      <w:r>
        <w:rPr>
          <w:szCs w:val="28"/>
        </w:rPr>
        <w:t xml:space="preserve"> </w:t>
      </w:r>
      <w:r w:rsidR="00F20F9C">
        <w:rPr>
          <w:szCs w:val="28"/>
        </w:rPr>
        <w:t>тыс. рублей, что составляет  1,6</w:t>
      </w:r>
      <w:r>
        <w:rPr>
          <w:szCs w:val="28"/>
        </w:rPr>
        <w:t xml:space="preserve"> 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</w:p>
    <w:p w:rsidR="00D5703E" w:rsidRDefault="00C41A43" w:rsidP="00D5703E">
      <w:pPr>
        <w:pStyle w:val="a7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 xml:space="preserve">05 «Жилищно-коммунальное хозяйство» </w:t>
      </w:r>
      <w:r w:rsidR="00D5703E">
        <w:rPr>
          <w:szCs w:val="28"/>
        </w:rPr>
        <w:t>на 2016</w:t>
      </w:r>
      <w:r>
        <w:rPr>
          <w:szCs w:val="28"/>
        </w:rPr>
        <w:t xml:space="preserve"> год проектом решения </w:t>
      </w:r>
      <w:r w:rsidR="00D5703E">
        <w:rPr>
          <w:szCs w:val="28"/>
        </w:rPr>
        <w:t>предусматривается в сумме 189,0тыс. рублей, что составляет 9,0</w:t>
      </w:r>
      <w:r>
        <w:rPr>
          <w:szCs w:val="28"/>
        </w:rPr>
        <w:t xml:space="preserve">% от общего объема расходов. </w:t>
      </w:r>
    </w:p>
    <w:p w:rsidR="003B24AF" w:rsidRDefault="00C41A43" w:rsidP="003B24AF">
      <w:pPr>
        <w:pStyle w:val="a7"/>
        <w:contextualSpacing/>
        <w:rPr>
          <w:spacing w:val="-8"/>
          <w:szCs w:val="28"/>
        </w:rPr>
      </w:pPr>
      <w:r>
        <w:rPr>
          <w:szCs w:val="28"/>
        </w:rPr>
        <w:lastRenderedPageBreak/>
        <w:t xml:space="preserve">           По разделу </w:t>
      </w:r>
      <w:r>
        <w:rPr>
          <w:b/>
          <w:bCs/>
          <w:szCs w:val="28"/>
        </w:rPr>
        <w:t>08</w:t>
      </w:r>
      <w:r>
        <w:rPr>
          <w:szCs w:val="28"/>
        </w:rPr>
        <w:t xml:space="preserve"> </w:t>
      </w:r>
      <w:r>
        <w:rPr>
          <w:b/>
          <w:bCs/>
          <w:szCs w:val="28"/>
        </w:rPr>
        <w:t>«Культура, кинематография, средства массовой информации»</w:t>
      </w:r>
      <w:r>
        <w:rPr>
          <w:szCs w:val="28"/>
        </w:rPr>
        <w:t xml:space="preserve"> проектом решения </w:t>
      </w:r>
      <w:r w:rsidR="00D5703E">
        <w:rPr>
          <w:szCs w:val="28"/>
        </w:rPr>
        <w:t>предусматриваются расходы в 2016</w:t>
      </w:r>
      <w:r>
        <w:rPr>
          <w:szCs w:val="28"/>
        </w:rPr>
        <w:t xml:space="preserve"> году </w:t>
      </w:r>
      <w:r w:rsidR="00D5703E">
        <w:rPr>
          <w:szCs w:val="28"/>
        </w:rPr>
        <w:t>в сумме  395,0</w:t>
      </w:r>
      <w:r>
        <w:rPr>
          <w:szCs w:val="28"/>
        </w:rPr>
        <w:t xml:space="preserve">тыс. рублей. </w:t>
      </w:r>
      <w:r>
        <w:rPr>
          <w:spacing w:val="-8"/>
          <w:szCs w:val="28"/>
        </w:rPr>
        <w:t>Доля расходов указанного раздела</w:t>
      </w:r>
      <w:r w:rsidR="003B24AF">
        <w:rPr>
          <w:spacing w:val="-8"/>
          <w:szCs w:val="28"/>
        </w:rPr>
        <w:t xml:space="preserve"> в объеме расходов составит 18,8</w:t>
      </w:r>
      <w:r>
        <w:rPr>
          <w:spacing w:val="-8"/>
          <w:szCs w:val="28"/>
        </w:rPr>
        <w:t xml:space="preserve"> %. </w:t>
      </w:r>
    </w:p>
    <w:p w:rsidR="003B24AF" w:rsidRDefault="003B24AF" w:rsidP="003B24AF">
      <w:pPr>
        <w:pStyle w:val="a7"/>
        <w:contextualSpacing/>
        <w:rPr>
          <w:spacing w:val="-8"/>
          <w:szCs w:val="28"/>
        </w:rPr>
      </w:pPr>
      <w:r>
        <w:rPr>
          <w:spacing w:val="-8"/>
          <w:szCs w:val="28"/>
        </w:rPr>
        <w:t xml:space="preserve">             </w:t>
      </w:r>
      <w:r w:rsidR="00C41A43">
        <w:rPr>
          <w:szCs w:val="28"/>
        </w:rPr>
        <w:t xml:space="preserve">По разделу </w:t>
      </w:r>
      <w:r w:rsidR="00C41A43">
        <w:rPr>
          <w:b/>
          <w:bCs/>
          <w:szCs w:val="28"/>
        </w:rPr>
        <w:t>10</w:t>
      </w:r>
      <w:r w:rsidR="00C41A43">
        <w:rPr>
          <w:szCs w:val="28"/>
        </w:rPr>
        <w:t xml:space="preserve"> </w:t>
      </w:r>
      <w:r w:rsidR="00C41A43">
        <w:rPr>
          <w:b/>
          <w:bCs/>
          <w:szCs w:val="28"/>
        </w:rPr>
        <w:t>«Социальная политика»</w:t>
      </w:r>
      <w:r w:rsidR="00C41A43">
        <w:rPr>
          <w:szCs w:val="28"/>
        </w:rPr>
        <w:t xml:space="preserve"> проектом решения пред</w:t>
      </w:r>
      <w:r>
        <w:rPr>
          <w:szCs w:val="28"/>
        </w:rPr>
        <w:t>усматриваются расходы в 2016 году в сумме  74,0</w:t>
      </w:r>
      <w:r w:rsidR="00C41A43">
        <w:rPr>
          <w:szCs w:val="28"/>
        </w:rPr>
        <w:t xml:space="preserve"> тыс. рублей. </w:t>
      </w:r>
      <w:r w:rsidR="00C41A43">
        <w:rPr>
          <w:spacing w:val="-8"/>
          <w:szCs w:val="28"/>
        </w:rPr>
        <w:t>Доля расходов указанного раздела в объеме расходов составит 5,2 %. Проектом бюджета расходные обязательства предусматриваются на   пенсионное обеспечение -</w:t>
      </w:r>
      <w:r>
        <w:rPr>
          <w:spacing w:val="-8"/>
          <w:szCs w:val="28"/>
        </w:rPr>
        <w:t>69,0</w:t>
      </w:r>
      <w:r w:rsidR="00C41A43">
        <w:rPr>
          <w:spacing w:val="-8"/>
          <w:szCs w:val="28"/>
        </w:rPr>
        <w:t xml:space="preserve"> тыс. рублей,  на оказание материальной помощи населению</w:t>
      </w:r>
      <w:r>
        <w:rPr>
          <w:spacing w:val="-8"/>
          <w:szCs w:val="28"/>
        </w:rPr>
        <w:t>-5</w:t>
      </w:r>
      <w:r w:rsidR="00C41A43">
        <w:rPr>
          <w:spacing w:val="-8"/>
          <w:szCs w:val="28"/>
        </w:rPr>
        <w:t>,0 тыс. рублей.</w:t>
      </w:r>
    </w:p>
    <w:p w:rsidR="00C41A43" w:rsidRDefault="00C41A43" w:rsidP="00EA1508">
      <w:pPr>
        <w:pStyle w:val="a7"/>
        <w:contextualSpacing/>
        <w:rPr>
          <w:color w:val="FF0000"/>
          <w:szCs w:val="28"/>
        </w:rPr>
      </w:pPr>
      <w:r>
        <w:rPr>
          <w:szCs w:val="28"/>
        </w:rPr>
        <w:t xml:space="preserve">В структуре органов местного самоуправления </w:t>
      </w:r>
      <w:r w:rsidR="003B24AF">
        <w:rPr>
          <w:szCs w:val="28"/>
        </w:rPr>
        <w:t>Глебовского</w:t>
      </w:r>
      <w:r>
        <w:rPr>
          <w:szCs w:val="28"/>
        </w:rPr>
        <w:t xml:space="preserve"> сельского поселения выделен главный распорядитель средств бюджета – администрация </w:t>
      </w:r>
      <w:r w:rsidR="003B24AF">
        <w:rPr>
          <w:szCs w:val="28"/>
        </w:rPr>
        <w:t xml:space="preserve">Глебовского сельского </w:t>
      </w:r>
      <w:r>
        <w:rPr>
          <w:szCs w:val="28"/>
        </w:rPr>
        <w:t xml:space="preserve"> поселения.</w:t>
      </w:r>
      <w:r>
        <w:rPr>
          <w:color w:val="FF0000"/>
          <w:szCs w:val="28"/>
        </w:rPr>
        <w:t>  </w:t>
      </w:r>
    </w:p>
    <w:p w:rsidR="00D753FB" w:rsidRDefault="00D753FB" w:rsidP="00ED6B04">
      <w:pPr>
        <w:jc w:val="both"/>
        <w:rPr>
          <w:color w:val="FF0000"/>
          <w:szCs w:val="28"/>
        </w:rPr>
      </w:pPr>
      <w:r w:rsidRPr="00ED6B04">
        <w:rPr>
          <w:szCs w:val="28"/>
        </w:rPr>
        <w:t xml:space="preserve"> </w:t>
      </w:r>
      <w:proofErr w:type="gramStart"/>
      <w:r w:rsidRPr="00ED6B04">
        <w:rPr>
          <w:rFonts w:ascii="Times New Roman" w:hAnsi="Times New Roman" w:cs="Times New Roman"/>
          <w:b/>
          <w:i/>
          <w:sz w:val="28"/>
          <w:szCs w:val="28"/>
        </w:rPr>
        <w:t xml:space="preserve">Однако в рассмотренном  Проекте бюджета не отражены муниципальные программы утверждённые Постановлением администрации </w:t>
      </w:r>
      <w:proofErr w:type="spellStart"/>
      <w:r w:rsidRPr="00ED6B04">
        <w:rPr>
          <w:rFonts w:ascii="Times New Roman" w:hAnsi="Times New Roman" w:cs="Times New Roman"/>
          <w:b/>
          <w:i/>
          <w:sz w:val="28"/>
          <w:szCs w:val="28"/>
        </w:rPr>
        <w:t>Глебовского</w:t>
      </w:r>
      <w:proofErr w:type="spellEnd"/>
      <w:r w:rsidRPr="00ED6B0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</w:t>
      </w:r>
      <w:r w:rsidRPr="00ED6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B04">
        <w:rPr>
          <w:rFonts w:ascii="Times New Roman" w:hAnsi="Times New Roman" w:cs="Times New Roman"/>
          <w:sz w:val="28"/>
          <w:szCs w:val="28"/>
        </w:rPr>
        <w:t>а именно МП</w:t>
      </w:r>
      <w:r w:rsidRPr="00ED6B04">
        <w:rPr>
          <w:szCs w:val="28"/>
        </w:rPr>
        <w:t xml:space="preserve"> </w:t>
      </w:r>
      <w:r w:rsidRPr="00D753FB">
        <w:rPr>
          <w:rFonts w:ascii="Times New Roman" w:hAnsi="Times New Roman"/>
          <w:bCs/>
          <w:kern w:val="28"/>
          <w:sz w:val="28"/>
          <w:szCs w:val="28"/>
        </w:rPr>
        <w:t>«Развитие физической культуры и спорта на 2014-2016 годы»</w:t>
      </w:r>
      <w:r>
        <w:rPr>
          <w:rFonts w:ascii="Times New Roman" w:hAnsi="Times New Roman"/>
          <w:bCs/>
          <w:kern w:val="28"/>
          <w:sz w:val="28"/>
          <w:szCs w:val="28"/>
        </w:rPr>
        <w:t>, МП «</w:t>
      </w:r>
      <w:r w:rsidRPr="00D753FB">
        <w:rPr>
          <w:rFonts w:ascii="Times New Roman" w:hAnsi="Times New Roman" w:cs="Times New Roman"/>
          <w:sz w:val="28"/>
          <w:szCs w:val="28"/>
        </w:rPr>
        <w:t>Обеспечение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FB">
        <w:rPr>
          <w:rFonts w:ascii="Times New Roman" w:hAnsi="Times New Roman" w:cs="Times New Roman"/>
          <w:sz w:val="28"/>
          <w:szCs w:val="28"/>
        </w:rPr>
        <w:t xml:space="preserve">движения на 2014-2016 годы по </w:t>
      </w:r>
      <w:proofErr w:type="spellStart"/>
      <w:r w:rsidRPr="00D753FB">
        <w:rPr>
          <w:rFonts w:ascii="Times New Roman" w:hAnsi="Times New Roman" w:cs="Times New Roman"/>
          <w:sz w:val="28"/>
          <w:szCs w:val="28"/>
        </w:rPr>
        <w:t>Глебовскому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FB">
        <w:rPr>
          <w:rFonts w:ascii="Times New Roman" w:hAnsi="Times New Roman" w:cs="Times New Roman"/>
          <w:sz w:val="28"/>
          <w:szCs w:val="28"/>
        </w:rPr>
        <w:t>сельскому поселению</w:t>
      </w:r>
      <w:r>
        <w:rPr>
          <w:rFonts w:ascii="Times New Roman" w:hAnsi="Times New Roman" w:cs="Times New Roman"/>
          <w:sz w:val="28"/>
          <w:szCs w:val="28"/>
        </w:rPr>
        <w:t>», МП «О</w:t>
      </w:r>
      <w:r>
        <w:rPr>
          <w:rFonts w:ascii="Times New Roman" w:hAnsi="Times New Roman"/>
          <w:sz w:val="28"/>
          <w:szCs w:val="28"/>
        </w:rPr>
        <w:t>беспечения пожарной безопасности на 2014 – 2016 годы</w:t>
      </w:r>
      <w:r>
        <w:rPr>
          <w:rFonts w:ascii="Times New Roman" w:hAnsi="Times New Roman"/>
          <w:sz w:val="28"/>
          <w:szCs w:val="28"/>
        </w:rPr>
        <w:t xml:space="preserve">», МП </w:t>
      </w:r>
      <w:r>
        <w:rPr>
          <w:rFonts w:ascii="Times New Roman" w:hAnsi="Times New Roman"/>
          <w:sz w:val="28"/>
          <w:szCs w:val="28"/>
        </w:rPr>
        <w:t>«Нравственно-патриотическое воспитание молодежи на 2014 - 2016 гг.»</w:t>
      </w:r>
      <w:r>
        <w:rPr>
          <w:rFonts w:ascii="Times New Roman" w:hAnsi="Times New Roman"/>
          <w:sz w:val="28"/>
          <w:szCs w:val="28"/>
        </w:rPr>
        <w:t>, что говорит о недостаточном 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ED6B04">
        <w:rPr>
          <w:rFonts w:ascii="Times New Roman" w:hAnsi="Times New Roman"/>
          <w:sz w:val="28"/>
          <w:szCs w:val="28"/>
        </w:rPr>
        <w:t xml:space="preserve"> выше указанного Постановления.  </w:t>
      </w:r>
      <w:proofErr w:type="gramStart"/>
      <w:r w:rsidR="00ED6B04">
        <w:rPr>
          <w:rFonts w:ascii="Times New Roman" w:hAnsi="Times New Roman"/>
          <w:sz w:val="28"/>
          <w:szCs w:val="28"/>
        </w:rPr>
        <w:t>Из представленных в ходе проведения экспертизы проекта бюджета паспортов</w:t>
      </w:r>
      <w:r w:rsidR="00BD12E9">
        <w:rPr>
          <w:rFonts w:ascii="Times New Roman" w:hAnsi="Times New Roman"/>
          <w:sz w:val="28"/>
          <w:szCs w:val="28"/>
        </w:rPr>
        <w:t>12 муниципальных программ паспорта 5 муниципальных программ не содержат объём бюджетных ассигнований, распределённых по годам реализации, 2 муниципальные программы по источникам финансирования.</w:t>
      </w:r>
      <w:proofErr w:type="gramEnd"/>
      <w:r w:rsidR="00BD12E9">
        <w:rPr>
          <w:rFonts w:ascii="Times New Roman" w:hAnsi="Times New Roman"/>
          <w:sz w:val="28"/>
          <w:szCs w:val="28"/>
        </w:rPr>
        <w:t xml:space="preserve"> Анализ показал, что муниципальные программы нуждаются в доработке.</w:t>
      </w:r>
    </w:p>
    <w:p w:rsidR="00C41A43" w:rsidRPr="00EA1508" w:rsidRDefault="00C41A43" w:rsidP="00C41A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5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МУНИЦИПАЛЬНЫЙ ДОЛГ</w:t>
      </w:r>
    </w:p>
    <w:p w:rsidR="00C41A43" w:rsidRDefault="00C41A43" w:rsidP="00C41A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A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проекте решения </w:t>
      </w:r>
      <w:r w:rsidR="00EA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Совета народных депутатов «О бюджете </w:t>
      </w:r>
      <w:r w:rsidR="00EA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Глебовского сельского поселения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не </w:t>
      </w:r>
      <w:r w:rsidR="00E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 объём муниципального долга,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верхний предел муниципального внутреннего долга </w:t>
      </w:r>
      <w:r w:rsidR="00E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</w:t>
      </w:r>
      <w:r w:rsidR="00E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2017 года в сумме 0,0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 </w:t>
      </w:r>
    </w:p>
    <w:p w:rsidR="00C41A43" w:rsidRDefault="00C41A43" w:rsidP="00C41A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A43" w:rsidRDefault="00C41A43" w:rsidP="00C41A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26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ВЫВОДЫ </w:t>
      </w:r>
    </w:p>
    <w:p w:rsidR="00A410C2" w:rsidRDefault="00A410C2" w:rsidP="009C1C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410C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41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Глебовского сельского поселения на 2016 год представлен в Контрольно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 Новодеревеньковского района 25.11.2015г. с нарушением сроков, установленных пунктом 1 статьи 185 Бюджетного кодекса РФ.</w:t>
      </w:r>
    </w:p>
    <w:p w:rsidR="00A410C2" w:rsidRDefault="009C1CBC" w:rsidP="009C1C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41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4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Глебовского сельского поселения на 2016 год предлагается утвердить:</w:t>
      </w:r>
    </w:p>
    <w:p w:rsidR="00A410C2" w:rsidRDefault="00A410C2" w:rsidP="009C1C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1944,5тыс. рублей; </w:t>
      </w:r>
    </w:p>
    <w:p w:rsidR="00A410C2" w:rsidRDefault="00A410C2" w:rsidP="009C1C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расходам в сумме 2099,8 тыс. рублей; </w:t>
      </w:r>
    </w:p>
    <w:p w:rsidR="00A410C2" w:rsidRDefault="00A410C2" w:rsidP="009C1C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дефицит бюджета -155,3 тыс. рублей.   </w:t>
      </w:r>
    </w:p>
    <w:p w:rsidR="00A410C2" w:rsidRDefault="00A410C2" w:rsidP="009C1C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C2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и неналоговые </w:t>
      </w:r>
      <w:r w:rsidRPr="00A410C2">
        <w:rPr>
          <w:rFonts w:ascii="Times New Roman" w:hAnsi="Times New Roman" w:cs="Times New Roman"/>
          <w:sz w:val="28"/>
          <w:szCs w:val="28"/>
        </w:rPr>
        <w:t>поступления занимают значител</w:t>
      </w:r>
      <w:r w:rsidR="009C1CBC">
        <w:rPr>
          <w:rFonts w:ascii="Times New Roman" w:hAnsi="Times New Roman" w:cs="Times New Roman"/>
          <w:sz w:val="28"/>
          <w:szCs w:val="28"/>
        </w:rPr>
        <w:t>ьное место в структуре доходов п</w:t>
      </w:r>
      <w:r w:rsidRPr="00A410C2">
        <w:rPr>
          <w:rFonts w:ascii="Times New Roman" w:hAnsi="Times New Roman" w:cs="Times New Roman"/>
          <w:sz w:val="28"/>
          <w:szCs w:val="28"/>
        </w:rPr>
        <w:t xml:space="preserve">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41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C1CBC">
        <w:rPr>
          <w:rFonts w:ascii="Times New Roman" w:hAnsi="Times New Roman" w:cs="Times New Roman"/>
          <w:sz w:val="28"/>
          <w:szCs w:val="28"/>
        </w:rPr>
        <w:t>.</w:t>
      </w:r>
      <w:r w:rsidRPr="00A410C2">
        <w:rPr>
          <w:rFonts w:ascii="Times New Roman" w:hAnsi="Times New Roman" w:cs="Times New Roman"/>
          <w:sz w:val="28"/>
          <w:szCs w:val="28"/>
        </w:rPr>
        <w:t xml:space="preserve">  На 2016 год их доля в общем объеме дохо</w:t>
      </w:r>
      <w:r>
        <w:rPr>
          <w:rFonts w:ascii="Times New Roman" w:hAnsi="Times New Roman" w:cs="Times New Roman"/>
          <w:sz w:val="28"/>
          <w:szCs w:val="28"/>
        </w:rPr>
        <w:t>дов запланирована в размере  91,5</w:t>
      </w:r>
      <w:r w:rsidRPr="00A410C2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A410C2" w:rsidRDefault="00A410C2" w:rsidP="009C1C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расходов проекта бюджета Глебовского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2016 год показывает, что наибольший удельный вес в общей сумме расходов приходится на раздел «Общегосударственные вопросы»-66,6</w:t>
      </w:r>
      <w:r w:rsidR="00E6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410C2" w:rsidRPr="00A410C2" w:rsidRDefault="00A410C2" w:rsidP="009C1CBC">
      <w:pPr>
        <w:shd w:val="clear" w:color="auto" w:fill="FFFFFF"/>
        <w:spacing w:before="5" w:line="298" w:lineRule="atLeast"/>
        <w:ind w:left="5" w:right="5"/>
        <w:contextualSpacing/>
        <w:jc w:val="both"/>
        <w:rPr>
          <w:rFonts w:ascii="Times New Roman" w:hAnsi="Times New Roman" w:cs="Times New Roman"/>
        </w:rPr>
      </w:pPr>
      <w:r w:rsidRPr="00A410C2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 w:rsidRPr="00A410C2">
        <w:rPr>
          <w:rFonts w:ascii="Times New Roman" w:hAnsi="Times New Roman" w:cs="Times New Roman"/>
          <w:b/>
          <w:sz w:val="28"/>
          <w:szCs w:val="28"/>
        </w:rPr>
        <w:t>4</w:t>
      </w:r>
      <w:r w:rsidRPr="00A410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10C2">
        <w:rPr>
          <w:rFonts w:ascii="Times New Roman" w:hAnsi="Times New Roman" w:cs="Times New Roman"/>
          <w:sz w:val="28"/>
          <w:szCs w:val="28"/>
        </w:rPr>
        <w:t xml:space="preserve"> Проект бюджета на 2016 год сформирован </w:t>
      </w:r>
      <w:r w:rsidR="00E67E5C">
        <w:rPr>
          <w:rFonts w:ascii="Times New Roman" w:hAnsi="Times New Roman" w:cs="Times New Roman"/>
          <w:sz w:val="28"/>
          <w:szCs w:val="28"/>
        </w:rPr>
        <w:t>с дефицитом  и составляет  сумме 155,3 тыс. рублей</w:t>
      </w:r>
      <w:r w:rsidRPr="00A41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C2" w:rsidRPr="00A410C2" w:rsidRDefault="009C1CBC" w:rsidP="009C1CB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410C2" w:rsidRPr="00A410C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A410C2" w:rsidRPr="00A410C2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требует внесения изменений и уточнений:</w:t>
      </w:r>
    </w:p>
    <w:p w:rsidR="00A410C2" w:rsidRPr="00A410C2" w:rsidRDefault="009C1CBC" w:rsidP="009C1CBC">
      <w:pPr>
        <w:spacing w:before="100" w:beforeAutospacing="1" w:after="100" w:afterAutospacing="1" w:line="3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410C2" w:rsidRPr="00A410C2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A410C2" w:rsidRPr="00A410C2">
        <w:rPr>
          <w:rFonts w:ascii="Times New Roman" w:hAnsi="Times New Roman" w:cs="Times New Roman"/>
          <w:sz w:val="28"/>
          <w:szCs w:val="28"/>
        </w:rPr>
        <w:t xml:space="preserve"> В нарушение статьи 184.2 Бюджетного Кодекса РФ к проекту решения не представлены:</w:t>
      </w:r>
    </w:p>
    <w:p w:rsidR="00BD12E9" w:rsidRDefault="009C1CBC" w:rsidP="00BD12E9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10C2" w:rsidRPr="00A410C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 политики </w:t>
      </w:r>
      <w:r w:rsidR="00E67E5C">
        <w:rPr>
          <w:rFonts w:ascii="Times New Roman" w:hAnsi="Times New Roman" w:cs="Times New Roman"/>
          <w:sz w:val="28"/>
          <w:szCs w:val="28"/>
        </w:rPr>
        <w:t>Глебовского сельского поселения</w:t>
      </w:r>
      <w:r w:rsidR="00A410C2" w:rsidRPr="00A410C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410C2" w:rsidRPr="00BD12E9" w:rsidRDefault="00A410C2" w:rsidP="00BD12E9">
      <w:pPr>
        <w:spacing w:before="100" w:beforeAutospacing="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2E9">
        <w:rPr>
          <w:rFonts w:ascii="Times New Roman" w:hAnsi="Times New Roman" w:cs="Times New Roman"/>
          <w:iCs/>
          <w:sz w:val="28"/>
          <w:szCs w:val="28"/>
        </w:rPr>
        <w:t>-пояснительная записка к проекту бюджета на 2016 год.</w:t>
      </w:r>
    </w:p>
    <w:p w:rsidR="00F717AA" w:rsidRDefault="009C1CBC" w:rsidP="00F717AA">
      <w:pPr>
        <w:pStyle w:val="a7"/>
        <w:contextualSpacing/>
        <w:rPr>
          <w:szCs w:val="28"/>
        </w:rPr>
      </w:pPr>
      <w:r>
        <w:rPr>
          <w:b/>
          <w:bCs/>
          <w:szCs w:val="28"/>
        </w:rPr>
        <w:t xml:space="preserve">   </w:t>
      </w:r>
      <w:r w:rsidR="00A410C2" w:rsidRPr="00A410C2">
        <w:rPr>
          <w:b/>
          <w:bCs/>
          <w:szCs w:val="28"/>
        </w:rPr>
        <w:t>5.2.</w:t>
      </w:r>
      <w:r w:rsidR="00A410C2" w:rsidRPr="00A410C2">
        <w:rPr>
          <w:szCs w:val="28"/>
        </w:rPr>
        <w:t xml:space="preserve"> В нарушение статьи 184</w:t>
      </w:r>
      <w:r w:rsidR="00BD12E9">
        <w:rPr>
          <w:szCs w:val="28"/>
        </w:rPr>
        <w:t xml:space="preserve"> п.3</w:t>
      </w:r>
      <w:r w:rsidR="00A410C2" w:rsidRPr="00A410C2">
        <w:rPr>
          <w:szCs w:val="28"/>
        </w:rPr>
        <w:t xml:space="preserve"> Бюджетного Кодекса РФ </w:t>
      </w:r>
      <w:r w:rsidR="00BD12E9">
        <w:rPr>
          <w:szCs w:val="28"/>
        </w:rPr>
        <w:t xml:space="preserve">в проекте решения не соблюдены нормы </w:t>
      </w:r>
      <w:r w:rsidR="00A410C2" w:rsidRPr="00A410C2">
        <w:rPr>
          <w:szCs w:val="28"/>
        </w:rPr>
        <w:t>состав</w:t>
      </w:r>
      <w:r w:rsidR="00F717AA">
        <w:rPr>
          <w:szCs w:val="28"/>
        </w:rPr>
        <w:t>а показателей</w:t>
      </w:r>
      <w:r w:rsidR="00A410C2" w:rsidRPr="00A410C2">
        <w:rPr>
          <w:szCs w:val="28"/>
        </w:rPr>
        <w:t>:</w:t>
      </w:r>
    </w:p>
    <w:p w:rsidR="00F717AA" w:rsidRDefault="00BD12E9" w:rsidP="00F717AA">
      <w:pPr>
        <w:pStyle w:val="a7"/>
        <w:contextualSpacing/>
        <w:rPr>
          <w:iCs/>
          <w:szCs w:val="28"/>
        </w:rPr>
      </w:pPr>
      <w:r w:rsidRPr="00F717AA">
        <w:rPr>
          <w:iCs/>
          <w:szCs w:val="28"/>
        </w:rPr>
        <w:t>-  перечня главных администраторов доходов бюджета,</w:t>
      </w:r>
    </w:p>
    <w:p w:rsidR="00F717AA" w:rsidRDefault="00BD12E9" w:rsidP="00F717AA">
      <w:pPr>
        <w:pStyle w:val="a7"/>
        <w:contextualSpacing/>
        <w:rPr>
          <w:iCs/>
          <w:szCs w:val="28"/>
        </w:rPr>
      </w:pPr>
      <w:r w:rsidRPr="00F717AA">
        <w:rPr>
          <w:iCs/>
          <w:szCs w:val="28"/>
        </w:rPr>
        <w:t xml:space="preserve">- перечень главных </w:t>
      </w:r>
      <w:proofErr w:type="gramStart"/>
      <w:r w:rsidRPr="00F717AA">
        <w:rPr>
          <w:iCs/>
          <w:szCs w:val="28"/>
        </w:rPr>
        <w:t>администраторов источников финансирования дефицита бюджета</w:t>
      </w:r>
      <w:proofErr w:type="gramEnd"/>
      <w:r w:rsidRPr="00F717AA">
        <w:rPr>
          <w:iCs/>
          <w:szCs w:val="28"/>
        </w:rPr>
        <w:t>,</w:t>
      </w:r>
    </w:p>
    <w:p w:rsidR="00F717AA" w:rsidRDefault="00BD12E9" w:rsidP="00F717AA">
      <w:pPr>
        <w:pStyle w:val="a7"/>
        <w:contextualSpacing/>
        <w:rPr>
          <w:iCs/>
          <w:szCs w:val="28"/>
        </w:rPr>
      </w:pPr>
      <w:r w:rsidRPr="00F717AA">
        <w:rPr>
          <w:iCs/>
          <w:szCs w:val="28"/>
        </w:rPr>
        <w:t>- источников финансирования дефицита бюджета,</w:t>
      </w:r>
    </w:p>
    <w:p w:rsidR="00F717AA" w:rsidRDefault="00BD12E9" w:rsidP="00F717AA">
      <w:pPr>
        <w:pStyle w:val="a7"/>
        <w:contextualSpacing/>
        <w:rPr>
          <w:iCs/>
          <w:szCs w:val="28"/>
        </w:rPr>
      </w:pPr>
      <w:r w:rsidRPr="00F717AA">
        <w:rPr>
          <w:iCs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F717AA" w:rsidRDefault="00BD12E9" w:rsidP="00F717AA">
      <w:pPr>
        <w:pStyle w:val="a7"/>
        <w:contextualSpacing/>
        <w:rPr>
          <w:szCs w:val="28"/>
        </w:rPr>
      </w:pPr>
      <w:r w:rsidRPr="00F717AA">
        <w:rPr>
          <w:sz w:val="14"/>
          <w:szCs w:val="14"/>
        </w:rPr>
        <w:t xml:space="preserve">         -   </w:t>
      </w:r>
      <w:r w:rsidRPr="00F717AA">
        <w:rPr>
          <w:iCs/>
          <w:szCs w:val="28"/>
        </w:rPr>
        <w:t>проектом бюджета не утверждён объём муниципального долга  на 2016год, верхний предел муниципального долга на 1 января 2017г.</w:t>
      </w:r>
      <w:r w:rsidRPr="00F717AA">
        <w:rPr>
          <w:szCs w:val="28"/>
        </w:rPr>
        <w:t>,</w:t>
      </w:r>
    </w:p>
    <w:p w:rsidR="00F717AA" w:rsidRDefault="00BD12E9" w:rsidP="00F717AA">
      <w:pPr>
        <w:pStyle w:val="a7"/>
        <w:contextualSpacing/>
        <w:rPr>
          <w:szCs w:val="28"/>
        </w:rPr>
      </w:pPr>
      <w:r w:rsidRPr="00F717AA">
        <w:rPr>
          <w:szCs w:val="28"/>
        </w:rPr>
        <w:t xml:space="preserve">      - отсутствуют ссылки в текстовой части проекта бюджета, что в очередном финансовом году не предусматривается представление бюджетных к</w:t>
      </w:r>
      <w:r w:rsidR="00F717AA">
        <w:rPr>
          <w:szCs w:val="28"/>
        </w:rPr>
        <w:t>редитов, муниципальных гарантий.</w:t>
      </w:r>
    </w:p>
    <w:p w:rsidR="00A410C2" w:rsidRPr="00A410C2" w:rsidRDefault="00F717AA" w:rsidP="00F717AA">
      <w:pPr>
        <w:pStyle w:val="a7"/>
        <w:contextualSpacing/>
      </w:pPr>
      <w:r>
        <w:rPr>
          <w:szCs w:val="28"/>
        </w:rPr>
        <w:t xml:space="preserve">  </w:t>
      </w:r>
      <w:r w:rsidR="00A410C2" w:rsidRPr="00A410C2">
        <w:rPr>
          <w:b/>
          <w:bCs/>
          <w:szCs w:val="28"/>
        </w:rPr>
        <w:t>5.3.</w:t>
      </w:r>
      <w:r w:rsidR="00A410C2" w:rsidRPr="00A410C2">
        <w:rPr>
          <w:szCs w:val="28"/>
        </w:rPr>
        <w:t xml:space="preserve"> Статьей 36 Бюджетного кодекса РФ определено, что необходимым условием принципа прозрачности (открытости) является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образований. </w:t>
      </w:r>
    </w:p>
    <w:p w:rsidR="00A410C2" w:rsidRPr="00A410C2" w:rsidRDefault="00A410C2" w:rsidP="00A410C2">
      <w:pPr>
        <w:autoSpaceDE w:val="0"/>
        <w:autoSpaceDN w:val="0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C2">
        <w:rPr>
          <w:rFonts w:ascii="Times New Roman" w:hAnsi="Times New Roman" w:cs="Times New Roman"/>
          <w:sz w:val="28"/>
          <w:szCs w:val="28"/>
        </w:rPr>
        <w:t xml:space="preserve">В соответствии с вышеназванной статьей, а так же пунктом 6 статьи 52  Федерального закона от 06.10.2003 г. № 131-ФЗ «Об общих принципах организации местного самоуправления в Российской Федерации» Контрольно-счетная палата считает необходимым внести в проект решения </w:t>
      </w:r>
      <w:r w:rsidRPr="00A410C2">
        <w:rPr>
          <w:rFonts w:ascii="Times New Roman" w:hAnsi="Times New Roman" w:cs="Times New Roman"/>
          <w:sz w:val="28"/>
          <w:szCs w:val="28"/>
        </w:rPr>
        <w:lastRenderedPageBreak/>
        <w:t>пункт с содержанием: «решение опубликовать в средствах массовой информации».</w:t>
      </w:r>
    </w:p>
    <w:p w:rsidR="004474E7" w:rsidRDefault="00A410C2" w:rsidP="004474E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0C2">
        <w:rPr>
          <w:rFonts w:ascii="Times New Roman" w:hAnsi="Times New Roman" w:cs="Times New Roman"/>
          <w:b/>
          <w:i/>
          <w:sz w:val="28"/>
          <w:szCs w:val="28"/>
        </w:rPr>
        <w:t>Предложения:</w:t>
      </w:r>
    </w:p>
    <w:p w:rsidR="00A410C2" w:rsidRPr="00A410C2" w:rsidRDefault="00A410C2" w:rsidP="00447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2">
        <w:rPr>
          <w:rFonts w:ascii="Times New Roman" w:hAnsi="Times New Roman" w:cs="Times New Roman"/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A410C2" w:rsidRPr="00A410C2" w:rsidRDefault="00A410C2" w:rsidP="00447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2">
        <w:rPr>
          <w:rFonts w:ascii="Times New Roman" w:hAnsi="Times New Roman" w:cs="Times New Roman"/>
          <w:sz w:val="28"/>
          <w:szCs w:val="28"/>
        </w:rPr>
        <w:t>1.</w:t>
      </w:r>
      <w:r w:rsidR="009C1CBC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Глебовского сельского поселения</w:t>
      </w:r>
    </w:p>
    <w:p w:rsidR="00A410C2" w:rsidRPr="00A410C2" w:rsidRDefault="00A410C2" w:rsidP="00447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2">
        <w:rPr>
          <w:rFonts w:ascii="Times New Roman" w:hAnsi="Times New Roman" w:cs="Times New Roman"/>
          <w:sz w:val="28"/>
          <w:szCs w:val="28"/>
        </w:rPr>
        <w:t xml:space="preserve">- доработать проект нормативно - правового акта «О проекте бюджета </w:t>
      </w:r>
      <w:r w:rsidR="009C1CBC">
        <w:rPr>
          <w:rFonts w:ascii="Times New Roman" w:hAnsi="Times New Roman" w:cs="Times New Roman"/>
          <w:sz w:val="28"/>
          <w:szCs w:val="28"/>
        </w:rPr>
        <w:t>Глебовского сельского поселения</w:t>
      </w:r>
      <w:r w:rsidRPr="00A410C2">
        <w:rPr>
          <w:rFonts w:ascii="Times New Roman" w:hAnsi="Times New Roman" w:cs="Times New Roman"/>
          <w:sz w:val="28"/>
          <w:szCs w:val="28"/>
        </w:rPr>
        <w:t xml:space="preserve">  на 2016год.» с учётом замечаний и предложений и внести его на рассмотрение </w:t>
      </w:r>
      <w:proofErr w:type="spellStart"/>
      <w:r w:rsidR="009C1CBC">
        <w:rPr>
          <w:rFonts w:ascii="Times New Roman" w:hAnsi="Times New Roman" w:cs="Times New Roman"/>
          <w:sz w:val="28"/>
          <w:szCs w:val="28"/>
        </w:rPr>
        <w:t>Глебовскому</w:t>
      </w:r>
      <w:proofErr w:type="spellEnd"/>
      <w:r w:rsidR="009C1CBC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A410C2">
        <w:rPr>
          <w:rFonts w:ascii="Times New Roman" w:hAnsi="Times New Roman" w:cs="Times New Roman"/>
          <w:sz w:val="28"/>
          <w:szCs w:val="28"/>
        </w:rPr>
        <w:t xml:space="preserve"> Совету народных депутатов.</w:t>
      </w:r>
    </w:p>
    <w:p w:rsidR="00A410C2" w:rsidRPr="00A410C2" w:rsidRDefault="00A410C2" w:rsidP="00447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2">
        <w:rPr>
          <w:rFonts w:ascii="Times New Roman" w:hAnsi="Times New Roman" w:cs="Times New Roman"/>
          <w:sz w:val="28"/>
          <w:szCs w:val="28"/>
        </w:rPr>
        <w:t>2.</w:t>
      </w:r>
      <w:r w:rsidR="004474E7">
        <w:rPr>
          <w:rFonts w:ascii="Times New Roman" w:hAnsi="Times New Roman" w:cs="Times New Roman"/>
          <w:b/>
          <w:i/>
          <w:sz w:val="28"/>
          <w:szCs w:val="28"/>
        </w:rPr>
        <w:t>Глебовскому сельскому</w:t>
      </w:r>
      <w:r w:rsidRPr="00A410C2">
        <w:rPr>
          <w:rFonts w:ascii="Times New Roman" w:hAnsi="Times New Roman" w:cs="Times New Roman"/>
          <w:b/>
          <w:i/>
          <w:sz w:val="28"/>
          <w:szCs w:val="28"/>
        </w:rPr>
        <w:t xml:space="preserve"> Совету народных депутатов</w:t>
      </w:r>
      <w:r w:rsidRPr="00A410C2">
        <w:rPr>
          <w:rFonts w:ascii="Times New Roman" w:hAnsi="Times New Roman" w:cs="Times New Roman"/>
          <w:sz w:val="28"/>
          <w:szCs w:val="28"/>
        </w:rPr>
        <w:t xml:space="preserve"> принять проект нормативно-правового акта «О проекте бюджета </w:t>
      </w:r>
      <w:r w:rsidR="004474E7">
        <w:rPr>
          <w:rFonts w:ascii="Times New Roman" w:hAnsi="Times New Roman" w:cs="Times New Roman"/>
          <w:sz w:val="28"/>
          <w:szCs w:val="28"/>
        </w:rPr>
        <w:t>Глебовского сельского поселения</w:t>
      </w:r>
      <w:r w:rsidRPr="00A410C2">
        <w:rPr>
          <w:rFonts w:ascii="Times New Roman" w:hAnsi="Times New Roman" w:cs="Times New Roman"/>
          <w:sz w:val="28"/>
          <w:szCs w:val="28"/>
        </w:rPr>
        <w:t xml:space="preserve"> на 2016год.»  в представленной редакции с учётом изменений.</w:t>
      </w:r>
    </w:p>
    <w:p w:rsidR="00A410C2" w:rsidRPr="002726F8" w:rsidRDefault="00A410C2" w:rsidP="004474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C41A43" w:rsidRDefault="004474E7" w:rsidP="00C41A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Контрольно-счётной палаты</w:t>
      </w:r>
    </w:p>
    <w:p w:rsidR="00C41A43" w:rsidRDefault="00C41A43" w:rsidP="004474E7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                                                       И. Н Бондарева</w:t>
      </w:r>
    </w:p>
    <w:p w:rsidR="00FA06D0" w:rsidRDefault="00FA06D0"/>
    <w:sectPr w:rsidR="00FA06D0" w:rsidSect="00A51F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BE"/>
    <w:multiLevelType w:val="hybridMultilevel"/>
    <w:tmpl w:val="41B2989A"/>
    <w:lvl w:ilvl="0" w:tplc="2BDE57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50159"/>
    <w:multiLevelType w:val="multilevel"/>
    <w:tmpl w:val="C500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533C6"/>
    <w:multiLevelType w:val="hybridMultilevel"/>
    <w:tmpl w:val="C0609444"/>
    <w:lvl w:ilvl="0" w:tplc="C822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43"/>
    <w:rsid w:val="000010DA"/>
    <w:rsid w:val="00030139"/>
    <w:rsid w:val="001005E5"/>
    <w:rsid w:val="00152525"/>
    <w:rsid w:val="0016144C"/>
    <w:rsid w:val="0021397E"/>
    <w:rsid w:val="00227572"/>
    <w:rsid w:val="002349D2"/>
    <w:rsid w:val="002726F8"/>
    <w:rsid w:val="00283872"/>
    <w:rsid w:val="00285A7F"/>
    <w:rsid w:val="003230F5"/>
    <w:rsid w:val="003641BC"/>
    <w:rsid w:val="003748B5"/>
    <w:rsid w:val="003B211B"/>
    <w:rsid w:val="003B24AF"/>
    <w:rsid w:val="003C4DEA"/>
    <w:rsid w:val="00405A64"/>
    <w:rsid w:val="004474E7"/>
    <w:rsid w:val="004A47B3"/>
    <w:rsid w:val="004C6765"/>
    <w:rsid w:val="0063237C"/>
    <w:rsid w:val="00632815"/>
    <w:rsid w:val="0065381B"/>
    <w:rsid w:val="006D7EFF"/>
    <w:rsid w:val="00706015"/>
    <w:rsid w:val="0071107D"/>
    <w:rsid w:val="00713538"/>
    <w:rsid w:val="00793276"/>
    <w:rsid w:val="007F289B"/>
    <w:rsid w:val="009238C1"/>
    <w:rsid w:val="00936904"/>
    <w:rsid w:val="009C1CBC"/>
    <w:rsid w:val="009E2214"/>
    <w:rsid w:val="009F306A"/>
    <w:rsid w:val="00A1403D"/>
    <w:rsid w:val="00A410C2"/>
    <w:rsid w:val="00A51F31"/>
    <w:rsid w:val="00A66024"/>
    <w:rsid w:val="00AA2196"/>
    <w:rsid w:val="00AD4121"/>
    <w:rsid w:val="00B272C7"/>
    <w:rsid w:val="00B53EA7"/>
    <w:rsid w:val="00B8039D"/>
    <w:rsid w:val="00BD12E9"/>
    <w:rsid w:val="00BD5CDE"/>
    <w:rsid w:val="00C32920"/>
    <w:rsid w:val="00C41A43"/>
    <w:rsid w:val="00CB478A"/>
    <w:rsid w:val="00D40F92"/>
    <w:rsid w:val="00D5703E"/>
    <w:rsid w:val="00D753FB"/>
    <w:rsid w:val="00D8691C"/>
    <w:rsid w:val="00DF21EC"/>
    <w:rsid w:val="00E330CE"/>
    <w:rsid w:val="00E4686B"/>
    <w:rsid w:val="00E67E5C"/>
    <w:rsid w:val="00E7659B"/>
    <w:rsid w:val="00E86C05"/>
    <w:rsid w:val="00EA1508"/>
    <w:rsid w:val="00EC1ADE"/>
    <w:rsid w:val="00EC373F"/>
    <w:rsid w:val="00ED6B04"/>
    <w:rsid w:val="00F20F9C"/>
    <w:rsid w:val="00F218CB"/>
    <w:rsid w:val="00F717AA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1A43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4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1EC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23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230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2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1A43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4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1EC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23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230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2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7045-B253-47E4-9928-C56B2D61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36</cp:revision>
  <cp:lastPrinted>2015-12-04T05:56:00Z</cp:lastPrinted>
  <dcterms:created xsi:type="dcterms:W3CDTF">2015-12-01T07:54:00Z</dcterms:created>
  <dcterms:modified xsi:type="dcterms:W3CDTF">2015-12-07T13:58:00Z</dcterms:modified>
</cp:coreProperties>
</file>